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ombreadoclaro"/>
        <w:tblpPr w:leftFromText="141" w:rightFromText="141" w:vertAnchor="text" w:horzAnchor="page" w:tblpX="2750" w:tblpY="-718"/>
        <w:tblW w:w="11732" w:type="dxa"/>
        <w:tblLook w:val="04A0" w:firstRow="1" w:lastRow="0" w:firstColumn="1" w:lastColumn="0" w:noHBand="0" w:noVBand="1"/>
      </w:tblPr>
      <w:tblGrid>
        <w:gridCol w:w="2007"/>
        <w:gridCol w:w="3015"/>
        <w:gridCol w:w="2457"/>
        <w:gridCol w:w="4253"/>
      </w:tblGrid>
      <w:tr w:rsidR="009A0B3C" w14:paraId="32B736FB" w14:textId="15C165A0" w:rsidTr="009A0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0EFF7C85" w14:textId="77777777" w:rsidR="009A0B3C" w:rsidRPr="00777EBC" w:rsidRDefault="009A0B3C" w:rsidP="009A0B3C">
            <w:pPr>
              <w:ind w:left="-108" w:right="-1648" w:firstLine="108"/>
              <w:jc w:val="both"/>
              <w:rPr>
                <w:sz w:val="18"/>
                <w:szCs w:val="18"/>
              </w:rPr>
            </w:pPr>
            <w:r w:rsidRPr="00777EBC">
              <w:rPr>
                <w:sz w:val="18"/>
                <w:szCs w:val="18"/>
              </w:rPr>
              <w:t>Ley Reguladora de las Haciendas Locales</w:t>
            </w:r>
          </w:p>
        </w:tc>
        <w:tc>
          <w:tcPr>
            <w:tcW w:w="3015" w:type="dxa"/>
          </w:tcPr>
          <w:p w14:paraId="7A58B907" w14:textId="77777777" w:rsidR="009A0B3C" w:rsidRPr="00777EBC" w:rsidRDefault="009A0B3C" w:rsidP="009A0B3C">
            <w:pPr>
              <w:jc w:val="both"/>
              <w:cnfStyle w:val="100000000000" w:firstRow="1" w:lastRow="0" w:firstColumn="0" w:lastColumn="0" w:oddVBand="0" w:evenVBand="0" w:oddHBand="0" w:evenHBand="0" w:firstRowFirstColumn="0" w:firstRowLastColumn="0" w:lastRowFirstColumn="0" w:lastRowLastColumn="0"/>
              <w:rPr>
                <w:sz w:val="18"/>
                <w:szCs w:val="18"/>
              </w:rPr>
            </w:pPr>
            <w:r w:rsidRPr="00777EBC">
              <w:rPr>
                <w:sz w:val="18"/>
                <w:szCs w:val="18"/>
              </w:rPr>
              <w:t xml:space="preserve"> Proyecto de Ley de Racionalización y sostenibilidad de la Administración</w:t>
            </w:r>
          </w:p>
        </w:tc>
        <w:tc>
          <w:tcPr>
            <w:tcW w:w="2457" w:type="dxa"/>
          </w:tcPr>
          <w:p w14:paraId="5EC3672E" w14:textId="2B70BF4B" w:rsidR="009A0B3C" w:rsidRDefault="009A0B3C" w:rsidP="009A0B3C">
            <w:pPr>
              <w:tabs>
                <w:tab w:val="left" w:pos="3068"/>
              </w:tabs>
              <w:ind w:left="-5636"/>
              <w:jc w:val="both"/>
              <w:cnfStyle w:val="100000000000" w:firstRow="1" w:lastRow="0" w:firstColumn="0" w:lastColumn="0" w:oddVBand="0" w:evenVBand="0" w:oddHBand="0" w:evenHBand="0" w:firstRowFirstColumn="0" w:firstRowLastColumn="0" w:lastRowFirstColumn="0" w:lastRowLastColumn="0"/>
              <w:rPr>
                <w:sz w:val="18"/>
                <w:szCs w:val="18"/>
              </w:rPr>
            </w:pPr>
            <w:proofErr w:type="spellStart"/>
            <w:r>
              <w:rPr>
                <w:sz w:val="18"/>
                <w:szCs w:val="18"/>
              </w:rPr>
              <w:t>Verversión</w:t>
            </w:r>
            <w:proofErr w:type="spellEnd"/>
            <w:r>
              <w:rPr>
                <w:sz w:val="18"/>
                <w:szCs w:val="18"/>
              </w:rPr>
              <w:t xml:space="preserve"> versión</w:t>
            </w:r>
            <w:r w:rsidRPr="009A0B3C">
              <w:rPr>
                <w:bCs w:val="0"/>
                <w:color w:val="auto"/>
                <w:sz w:val="18"/>
                <w:szCs w:val="18"/>
              </w:rPr>
              <w:t xml:space="preserve"> </w:t>
            </w:r>
            <w:proofErr w:type="spellStart"/>
            <w:r w:rsidRPr="009A0B3C">
              <w:rPr>
                <w:sz w:val="18"/>
                <w:szCs w:val="18"/>
              </w:rPr>
              <w:t>Versión</w:t>
            </w:r>
            <w:proofErr w:type="spellEnd"/>
            <w:r w:rsidRPr="009A0B3C">
              <w:rPr>
                <w:sz w:val="18"/>
                <w:szCs w:val="18"/>
              </w:rPr>
              <w:t xml:space="preserve"> aprobada </w:t>
            </w:r>
            <w:r>
              <w:rPr>
                <w:sz w:val="18"/>
                <w:szCs w:val="18"/>
              </w:rPr>
              <w:t>por la Comisión con c  V</w:t>
            </w:r>
          </w:p>
          <w:p w14:paraId="3C0C7F97" w14:textId="77777777" w:rsidR="009A0B3C" w:rsidRDefault="009A0B3C" w:rsidP="009A0B3C">
            <w:pPr>
              <w:tabs>
                <w:tab w:val="left" w:pos="3068"/>
              </w:tabs>
              <w:ind w:left="-5636"/>
              <w:jc w:val="both"/>
              <w:cnfStyle w:val="100000000000" w:firstRow="1" w:lastRow="0" w:firstColumn="0" w:lastColumn="0" w:oddVBand="0" w:evenVBand="0" w:oddHBand="0" w:evenHBand="0" w:firstRowFirstColumn="0" w:firstRowLastColumn="0" w:lastRowFirstColumn="0" w:lastRowLastColumn="0"/>
              <w:rPr>
                <w:sz w:val="18"/>
                <w:szCs w:val="18"/>
              </w:rPr>
            </w:pPr>
          </w:p>
          <w:p w14:paraId="468792C1" w14:textId="77777777" w:rsidR="009A0B3C" w:rsidRDefault="009A0B3C" w:rsidP="009A0B3C">
            <w:pPr>
              <w:tabs>
                <w:tab w:val="left" w:pos="3068"/>
              </w:tabs>
              <w:ind w:left="-5636"/>
              <w:jc w:val="both"/>
              <w:cnfStyle w:val="100000000000" w:firstRow="1" w:lastRow="0" w:firstColumn="0" w:lastColumn="0" w:oddVBand="0" w:evenVBand="0" w:oddHBand="0" w:evenHBand="0" w:firstRowFirstColumn="0" w:firstRowLastColumn="0" w:lastRowFirstColumn="0" w:lastRowLastColumn="0"/>
              <w:rPr>
                <w:sz w:val="18"/>
                <w:szCs w:val="18"/>
              </w:rPr>
            </w:pPr>
            <w:bookmarkStart w:id="0" w:name="_GoBack"/>
            <w:bookmarkEnd w:id="0"/>
          </w:p>
          <w:p w14:paraId="00E9FABC" w14:textId="612525C9" w:rsidR="009A0B3C" w:rsidRDefault="009A0B3C" w:rsidP="009A0B3C">
            <w:pPr>
              <w:tabs>
                <w:tab w:val="left" w:pos="3068"/>
              </w:tabs>
              <w:ind w:left="-5636"/>
              <w:jc w:val="both"/>
              <w:cnfStyle w:val="100000000000" w:firstRow="1" w:lastRow="0" w:firstColumn="0" w:lastColumn="0" w:oddVBand="0" w:evenVBand="0" w:oddHBand="0" w:evenHBand="0" w:firstRowFirstColumn="0" w:firstRowLastColumn="0" w:lastRowFirstColumn="0" w:lastRowLastColumn="0"/>
              <w:rPr>
                <w:sz w:val="18"/>
                <w:szCs w:val="18"/>
              </w:rPr>
            </w:pPr>
          </w:p>
        </w:tc>
        <w:tc>
          <w:tcPr>
            <w:tcW w:w="4253" w:type="dxa"/>
          </w:tcPr>
          <w:p w14:paraId="3764766E" w14:textId="335EA7DD" w:rsidR="009A0B3C" w:rsidRDefault="009A0B3C" w:rsidP="009A0B3C">
            <w:pPr>
              <w:tabs>
                <w:tab w:val="left" w:pos="3068"/>
              </w:tabs>
              <w:ind w:left="-5636"/>
              <w:jc w:val="both"/>
              <w:cnfStyle w:val="100000000000" w:firstRow="1" w:lastRow="0" w:firstColumn="0" w:lastColumn="0" w:oddVBand="0" w:evenVBand="0" w:oddHBand="0" w:evenHBand="0" w:firstRowFirstColumn="0" w:firstRowLastColumn="0" w:lastRowFirstColumn="0" w:lastRowLastColumn="0"/>
              <w:rPr>
                <w:b w:val="0"/>
                <w:bCs w:val="0"/>
                <w:sz w:val="18"/>
                <w:szCs w:val="18"/>
              </w:rPr>
            </w:pPr>
          </w:p>
          <w:p w14:paraId="515A9F87" w14:textId="16634542" w:rsidR="009A0B3C" w:rsidRPr="009A0B3C" w:rsidRDefault="009A0B3C" w:rsidP="009A0B3C">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Ley 27/ 2013, de 27 de diciembre del 2013 sobre racionalización y sostenibilidad de la Administración Local. </w:t>
            </w:r>
          </w:p>
        </w:tc>
      </w:tr>
      <w:tr w:rsidR="009A0B3C" w14:paraId="17CAB61A" w14:textId="2420227E" w:rsidTr="009A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39C50FC7" w14:textId="095A2BF4" w:rsidR="009A0B3C" w:rsidRPr="00777EBC" w:rsidRDefault="009A0B3C" w:rsidP="009A0B3C">
            <w:pPr>
              <w:ind w:left="-108" w:right="-1648" w:firstLine="108"/>
              <w:jc w:val="both"/>
              <w:rPr>
                <w:sz w:val="18"/>
                <w:szCs w:val="18"/>
              </w:rPr>
            </w:pPr>
          </w:p>
        </w:tc>
        <w:tc>
          <w:tcPr>
            <w:tcW w:w="3015" w:type="dxa"/>
          </w:tcPr>
          <w:p w14:paraId="57FB21E7"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777EBC">
              <w:rPr>
                <w:sz w:val="18"/>
                <w:szCs w:val="18"/>
              </w:rPr>
              <w:t>Introd</w:t>
            </w:r>
            <w:proofErr w:type="spellEnd"/>
            <w:r w:rsidRPr="00777EBC">
              <w:rPr>
                <w:sz w:val="18"/>
                <w:szCs w:val="18"/>
              </w:rPr>
              <w:t>. Art. 193 bis :</w:t>
            </w:r>
          </w:p>
          <w:p w14:paraId="5850883D"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p>
          <w:p w14:paraId="24876687"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«Artículo  193  bis.</w:t>
            </w:r>
            <w:r w:rsidRPr="00777EBC">
              <w:rPr>
                <w:sz w:val="18"/>
                <w:szCs w:val="18"/>
              </w:rPr>
              <w:tab/>
              <w:t>Derechos  de  difícil  o  imposible  recaudación.</w:t>
            </w:r>
          </w:p>
          <w:p w14:paraId="7974FEC3"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Las  entidades  locales  deberán  informar  al  Ministerio  de  Hacienda  y  Administraciones Públicas y  a  su  Pleno,  u  órgano  equivalente,  del  resultado  de  la  aplicación  de  los  criterios  determinantes  de los  derechos  de  difícil  o  imposible  recaudación  con  los  siguientes  límites  mínimos:</w:t>
            </w:r>
          </w:p>
          <w:p w14:paraId="185E881C"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a)</w:t>
            </w:r>
            <w:r w:rsidRPr="00777EBC">
              <w:rPr>
                <w:sz w:val="18"/>
                <w:szCs w:val="18"/>
              </w:rPr>
              <w:tab/>
              <w:t>Los  derechos  pendientes  de  cobro  liquidados  dentro  de  los  presupuestos  de  los  dos</w:t>
            </w:r>
          </w:p>
          <w:p w14:paraId="7D986B04"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ejercicios  anteriores  al  que  corresponde  la  liquidación,  se  minorarán,  como  mínimo,  en  un  25  por ciento.</w:t>
            </w:r>
          </w:p>
          <w:p w14:paraId="5B4E7848"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b)</w:t>
            </w:r>
            <w:r w:rsidRPr="00777EBC">
              <w:rPr>
                <w:sz w:val="18"/>
                <w:szCs w:val="18"/>
              </w:rPr>
              <w:tab/>
              <w:t>Los  derechos  pendientes  de  cobro  liquidados  dentro  de  los  presupuestos  del  ejercicio</w:t>
            </w:r>
            <w:r>
              <w:rPr>
                <w:sz w:val="18"/>
                <w:szCs w:val="18"/>
              </w:rPr>
              <w:t xml:space="preserve"> </w:t>
            </w:r>
            <w:r w:rsidRPr="00777EBC">
              <w:rPr>
                <w:sz w:val="18"/>
                <w:szCs w:val="18"/>
              </w:rPr>
              <w:t>tercero  anterior  al  que  corresponde  la  liquidación,  se  minorarán,  como  mínimo,  en  un  50 por  ciento.</w:t>
            </w:r>
          </w:p>
          <w:p w14:paraId="6C69377F"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c)</w:t>
            </w:r>
            <w:r w:rsidRPr="00777EBC">
              <w:rPr>
                <w:sz w:val="18"/>
                <w:szCs w:val="18"/>
              </w:rPr>
              <w:tab/>
              <w:t>Los  derechos  pendientes  de  cobro  liquidados  dentro  de  los  presupuestos  de  los  ejercicios cuarto  a  quinto  anteriores  al  que  corresponde  la  liquidación,  se  minorarán,  como  mínimo,  en  un  75 por  ciento.</w:t>
            </w:r>
          </w:p>
          <w:p w14:paraId="1B82FF12"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d)</w:t>
            </w:r>
            <w:r w:rsidRPr="00777EBC">
              <w:rPr>
                <w:sz w:val="18"/>
                <w:szCs w:val="18"/>
              </w:rPr>
              <w:tab/>
              <w:t xml:space="preserve">Los  derechos  pendientes  de  cobro  liquidados  dentro  de  los  presupuestos  de  los  restantes ejercicios  anteriores  al  que  </w:t>
            </w:r>
            <w:r w:rsidRPr="00777EBC">
              <w:rPr>
                <w:sz w:val="18"/>
                <w:szCs w:val="18"/>
              </w:rPr>
              <w:lastRenderedPageBreak/>
              <w:t>corresponde  la  liquidación,  se  minorarán  en  un  100  por  ciento.»</w:t>
            </w:r>
          </w:p>
          <w:p w14:paraId="0B8019CD"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457" w:type="dxa"/>
          </w:tcPr>
          <w:p w14:paraId="06843DAD" w14:textId="77777777" w:rsidR="009A0B3C" w:rsidRPr="00777EBC" w:rsidRDefault="009A0B3C" w:rsidP="009A0B3C">
            <w:pPr>
              <w:tabs>
                <w:tab w:val="left" w:pos="4712"/>
                <w:tab w:val="left" w:pos="7122"/>
              </w:tabs>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4253" w:type="dxa"/>
          </w:tcPr>
          <w:p w14:paraId="538A96F7" w14:textId="77777777" w:rsidR="009A0B3C" w:rsidRDefault="009A0B3C" w:rsidP="009A0B3C">
            <w:pPr>
              <w:widowControl w:val="0"/>
              <w:autoSpaceDE w:val="0"/>
              <w:autoSpaceDN w:val="0"/>
              <w:adjustRightInd w:val="0"/>
              <w:ind w:left="580" w:right="-23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«Artículo 193 bis.</w:t>
            </w:r>
            <w:r>
              <w:rPr>
                <w:rFonts w:ascii="Arial" w:hAnsi="Arial" w:cs="Arial"/>
                <w:i/>
                <w:iCs/>
                <w:sz w:val="20"/>
                <w:szCs w:val="20"/>
              </w:rPr>
              <w:t xml:space="preserve">   Derechos de difícil o imposible recaudación.</w:t>
            </w:r>
          </w:p>
          <w:p w14:paraId="06CE74F9" w14:textId="77777777" w:rsidR="009A0B3C" w:rsidRDefault="009A0B3C" w:rsidP="009A0B3C">
            <w:pPr>
              <w:widowControl w:val="0"/>
              <w:autoSpaceDE w:val="0"/>
              <w:autoSpaceDN w:val="0"/>
              <w:adjustRightInd w:val="0"/>
              <w:spacing w:line="1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96A35DF" w14:textId="77777777" w:rsidR="009A0B3C" w:rsidRDefault="009A0B3C" w:rsidP="009A0B3C">
            <w:pPr>
              <w:widowControl w:val="0"/>
              <w:overflowPunct w:val="0"/>
              <w:autoSpaceDE w:val="0"/>
              <w:autoSpaceDN w:val="0"/>
              <w:adjustRightInd w:val="0"/>
              <w:spacing w:line="262"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Las Entidades Locales deberán informar al Ministerio de Hacienda y Administraciones Públicas y a su Pleno, u órgano equivalente, del resultado de la aplicación de los criterios determinantes de los derechos de difícil o imposible recaudación con los siguientes límites mínimos:</w:t>
            </w:r>
          </w:p>
          <w:p w14:paraId="3AA17571" w14:textId="77777777" w:rsidR="009A0B3C" w:rsidRDefault="009A0B3C" w:rsidP="009A0B3C">
            <w:pPr>
              <w:widowControl w:val="0"/>
              <w:autoSpaceDE w:val="0"/>
              <w:autoSpaceDN w:val="0"/>
              <w:adjustRightInd w:val="0"/>
              <w:spacing w:line="69"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F234A30" w14:textId="77777777" w:rsidR="009A0B3C" w:rsidRDefault="009A0B3C" w:rsidP="009A0B3C">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  Los derechos pendientes de cobro liquidados dentro de los presupuestos de los dos ejercicios anteriores al que corresponde la liquidación, se minorarán, como mínimo, en un 25 por ciento.</w:t>
            </w:r>
          </w:p>
          <w:p w14:paraId="67E200FB" w14:textId="77777777" w:rsidR="009A0B3C" w:rsidRDefault="009A0B3C" w:rsidP="009A0B3C">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44C8C73" w14:textId="77777777" w:rsidR="009A0B3C" w:rsidRDefault="009A0B3C" w:rsidP="009A0B3C">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b)  Los derechos pendientes de cobro liquidados dentro de los presupuestos del ejercicio tercero anterior al que corresponde la liquidación, se minorarán, como mínimo, en un 50 por ciento.</w:t>
            </w:r>
          </w:p>
          <w:p w14:paraId="67B50DDD" w14:textId="77777777" w:rsidR="009A0B3C" w:rsidRDefault="009A0B3C" w:rsidP="009A0B3C">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7E1BB51" w14:textId="77777777" w:rsidR="009A0B3C" w:rsidRDefault="009A0B3C" w:rsidP="009A0B3C">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c)  Los derechos pendientes de cobro liquidados dentro de los presupuestos de los ejercicios cuarto a quinto anteriores al que corresponde la liquidación, se minorarán, como mínimo, en un 75 por ciento.</w:t>
            </w:r>
          </w:p>
          <w:p w14:paraId="19DBD8B6" w14:textId="77777777" w:rsidR="009A0B3C" w:rsidRDefault="009A0B3C" w:rsidP="009A0B3C">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2158022" w14:textId="77777777" w:rsidR="009A0B3C" w:rsidRDefault="009A0B3C" w:rsidP="009A0B3C">
            <w:pPr>
              <w:widowControl w:val="0"/>
              <w:overflowPunct w:val="0"/>
              <w:autoSpaceDE w:val="0"/>
              <w:autoSpaceDN w:val="0"/>
              <w:adjustRightInd w:val="0"/>
              <w:spacing w:line="268"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 xml:space="preserve">d)  Los derechos pendientes de cobro liquidados dentro de los presupuestos de los restantes ejercicios anteriores al que </w:t>
            </w:r>
            <w:r>
              <w:rPr>
                <w:rFonts w:ascii="Arial" w:hAnsi="Arial" w:cs="Arial"/>
                <w:sz w:val="20"/>
                <w:szCs w:val="20"/>
              </w:rPr>
              <w:lastRenderedPageBreak/>
              <w:t>corresponde la liquidación, se minorarán en un 100 por ciento.»</w:t>
            </w:r>
          </w:p>
          <w:p w14:paraId="7FD80F04" w14:textId="77777777" w:rsidR="009A0B3C" w:rsidRPr="00777EBC" w:rsidRDefault="009A0B3C" w:rsidP="009A0B3C">
            <w:pPr>
              <w:tabs>
                <w:tab w:val="left" w:pos="4712"/>
                <w:tab w:val="left" w:pos="7122"/>
              </w:tabs>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9A0B3C" w14:paraId="1760DA02" w14:textId="1EC50517" w:rsidTr="009A0B3C">
        <w:tc>
          <w:tcPr>
            <w:cnfStyle w:val="001000000000" w:firstRow="0" w:lastRow="0" w:firstColumn="1" w:lastColumn="0" w:oddVBand="0" w:evenVBand="0" w:oddHBand="0" w:evenHBand="0" w:firstRowFirstColumn="0" w:firstRowLastColumn="0" w:lastRowFirstColumn="0" w:lastRowLastColumn="0"/>
            <w:tcW w:w="2007" w:type="dxa"/>
          </w:tcPr>
          <w:p w14:paraId="56B8B99E" w14:textId="77777777" w:rsidR="009A0B3C" w:rsidRPr="00777EBC" w:rsidRDefault="009A0B3C" w:rsidP="009A0B3C">
            <w:pPr>
              <w:ind w:left="-108" w:right="-1648" w:firstLine="108"/>
              <w:jc w:val="both"/>
              <w:rPr>
                <w:sz w:val="18"/>
                <w:szCs w:val="18"/>
              </w:rPr>
            </w:pPr>
          </w:p>
        </w:tc>
        <w:tc>
          <w:tcPr>
            <w:tcW w:w="3015" w:type="dxa"/>
          </w:tcPr>
          <w:p w14:paraId="07B5C8C1" w14:textId="77777777" w:rsidR="009A0B3C" w:rsidRPr="00777EB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777EBC">
              <w:rPr>
                <w:sz w:val="18"/>
                <w:szCs w:val="18"/>
              </w:rPr>
              <w:t>Mod</w:t>
            </w:r>
            <w:proofErr w:type="spellEnd"/>
            <w:r w:rsidRPr="00777EBC">
              <w:rPr>
                <w:sz w:val="18"/>
                <w:szCs w:val="18"/>
              </w:rPr>
              <w:t xml:space="preserve">. art. 213: </w:t>
            </w:r>
          </w:p>
          <w:p w14:paraId="63E34C3C" w14:textId="77777777" w:rsidR="009A0B3C" w:rsidRPr="00777EB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777EBC">
              <w:rPr>
                <w:sz w:val="18"/>
                <w:szCs w:val="18"/>
              </w:rPr>
              <w:t>«Artículo  213.</w:t>
            </w:r>
            <w:r w:rsidRPr="00777EBC">
              <w:rPr>
                <w:sz w:val="18"/>
                <w:szCs w:val="18"/>
              </w:rPr>
              <w:tab/>
              <w:t>Control  interno.</w:t>
            </w:r>
          </w:p>
          <w:p w14:paraId="21F07583" w14:textId="77777777" w:rsidR="009A0B3C" w:rsidRPr="00777EB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777EBC">
              <w:rPr>
                <w:sz w:val="18"/>
                <w:szCs w:val="18"/>
              </w:rPr>
              <w:t>Se  ejercerán  en  las  entidades  locales  con  la  extensión  y  efectos  que  se  determina  en  los</w:t>
            </w:r>
          </w:p>
          <w:p w14:paraId="20D8E2A8" w14:textId="77777777" w:rsidR="009A0B3C" w:rsidRPr="00777EB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777EBC">
              <w:rPr>
                <w:sz w:val="18"/>
                <w:szCs w:val="18"/>
              </w:rPr>
              <w:t xml:space="preserve">artículos  siguientes  las  funciones  de  control  interno  respecto  de  su  gestión  económica,  de  los organismos  autónomos  y  de  las  sociedades  mercantiles  de  ellas  dependientes,  en  sus  modalidades de  función  interventora,  función  de  control  financiero,  incluida  la  auditoría  de  cuentas  de  las entidades  que  se  determinen  reglamentariamente,  y  función </w:t>
            </w:r>
            <w:r>
              <w:rPr>
                <w:sz w:val="18"/>
                <w:szCs w:val="18"/>
              </w:rPr>
              <w:t xml:space="preserve"> de  control  de  la  eficacia.</w:t>
            </w:r>
          </w:p>
          <w:p w14:paraId="3B7C061F" w14:textId="77777777" w:rsidR="009A0B3C" w:rsidRPr="00777EB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777EBC">
              <w:rPr>
                <w:sz w:val="18"/>
                <w:szCs w:val="18"/>
              </w:rPr>
              <w:t>A  propuesta  del  Ministerio  de  Hacienda  y  Administrac</w:t>
            </w:r>
            <w:r>
              <w:rPr>
                <w:sz w:val="18"/>
                <w:szCs w:val="18"/>
              </w:rPr>
              <w:t xml:space="preserve">iones  Públicas,  el  Gobierno </w:t>
            </w:r>
            <w:r w:rsidRPr="00777EBC">
              <w:rPr>
                <w:sz w:val="18"/>
                <w:szCs w:val="18"/>
              </w:rPr>
              <w:t>establecerá las  normas  sobre  los  procedimientos  de  control,  metodología  de  aplicación,  criterios  de  actuación, derechos  y  deberes  del  personal  controlador  y  destinatarios  de  los  informes  de  control,  que  se deberán  seguir  en  el  desarrollo  de  las  funciones  de  control  indicadas  en  el  apartado  anterior.</w:t>
            </w:r>
          </w:p>
          <w:p w14:paraId="2003AADB" w14:textId="77777777" w:rsidR="009A0B3C" w:rsidRPr="00777EB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777EBC">
              <w:rPr>
                <w:sz w:val="18"/>
                <w:szCs w:val="18"/>
              </w:rPr>
              <w:t>Los  órganos  interventores  de  las  entidades  locales  remitirán  con  carácter  anual  a  la  Intervención General  de  la  Administración  del  Estado  un  informe  resumen  de  los  resultados  de  los  citados controles  desarrollados  en  cada  ejercicio,  en  el  plazo  y  con  el  contenido  que  se  regulen  en  las normas  indicadas  en  el  párrafo  anterior.»</w:t>
            </w:r>
          </w:p>
          <w:p w14:paraId="47BE53FF" w14:textId="77777777" w:rsidR="009A0B3C" w:rsidRPr="00777EB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457" w:type="dxa"/>
          </w:tcPr>
          <w:p w14:paraId="7321F4E4" w14:textId="77777777" w:rsidR="009A0B3C" w:rsidRPr="00777EB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4253" w:type="dxa"/>
          </w:tcPr>
          <w:p w14:paraId="55E84984" w14:textId="77777777" w:rsidR="009A0B3C" w:rsidRDefault="009A0B3C" w:rsidP="009A0B3C">
            <w:pPr>
              <w:widowControl w:val="0"/>
              <w:autoSpaceDE w:val="0"/>
              <w:autoSpaceDN w:val="0"/>
              <w:adjustRightInd w:val="0"/>
              <w:ind w:left="5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Artículo 213.</w:t>
            </w:r>
            <w:r>
              <w:rPr>
                <w:rFonts w:ascii="Arial" w:hAnsi="Arial" w:cs="Arial"/>
                <w:i/>
                <w:iCs/>
                <w:sz w:val="20"/>
                <w:szCs w:val="20"/>
              </w:rPr>
              <w:t xml:space="preserve">   Control interno.</w:t>
            </w:r>
          </w:p>
          <w:p w14:paraId="4B593E2B" w14:textId="77777777" w:rsidR="009A0B3C" w:rsidRDefault="009A0B3C" w:rsidP="009A0B3C">
            <w:pPr>
              <w:widowControl w:val="0"/>
              <w:autoSpaceDE w:val="0"/>
              <w:autoSpaceDN w:val="0"/>
              <w:adjustRightInd w:val="0"/>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9B2E312" w14:textId="77777777" w:rsidR="009A0B3C" w:rsidRDefault="009A0B3C" w:rsidP="009A0B3C">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Se ejercerán en las Entidades Locales con la extensión y efectos que se determina en los artículos siguientes las funciones de control interno respecto de su gestión económica, de los organismos autónomos y de las sociedades mercantiles de ellas dependientes, en sus modalidades de función interventora, función de control financiero, incluida la auditoría de cuentas de las entidades que se determinen reglamentariamente, y función de control de la eficacia.</w:t>
            </w:r>
          </w:p>
          <w:p w14:paraId="1EBDEF26" w14:textId="77777777" w:rsidR="009A0B3C" w:rsidRDefault="009A0B3C" w:rsidP="009A0B3C">
            <w:pPr>
              <w:widowControl w:val="0"/>
              <w:autoSpaceDE w:val="0"/>
              <w:autoSpaceDN w:val="0"/>
              <w:adjustRightInd w:val="0"/>
              <w:spacing w:line="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78C54D3" w14:textId="77777777" w:rsidR="009A0B3C" w:rsidRDefault="009A0B3C" w:rsidP="009A0B3C">
            <w:pPr>
              <w:widowControl w:val="0"/>
              <w:overflowPunct w:val="0"/>
              <w:autoSpaceDE w:val="0"/>
              <w:autoSpaceDN w:val="0"/>
              <w:adjustRightInd w:val="0"/>
              <w:spacing w:line="259"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propuesta del Ministerio de Hacienda y Administraciones Públicas, el Gobierno establecerá las normas sobre los procedimientos de control, metodología de aplicación, criterios de actuación, derechos y deberes del personal controlador y destinatarios de los informes de control, que se deberán seguir en el desarrollo de las funciones de control indicadas en el apartado anterior.</w:t>
            </w:r>
          </w:p>
          <w:p w14:paraId="63D0D221" w14:textId="77777777" w:rsidR="009A0B3C" w:rsidRDefault="009A0B3C" w:rsidP="009A0B3C">
            <w:pPr>
              <w:widowControl w:val="0"/>
              <w:overflowPunct w:val="0"/>
              <w:autoSpaceDE w:val="0"/>
              <w:autoSpaceDN w:val="0"/>
              <w:adjustRightInd w:val="0"/>
              <w:spacing w:line="259"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Los órganos interventores de las Entidades Locales remitirán con carácter anual a la Intervención General de la Administración del Estado un informe resumen de los resultados de los citados controles desarrollados en cada ejercicio, en el plazo y con el contenido que se regulen en las normas indicadas en el párrafo anterior.»</w:t>
            </w:r>
          </w:p>
          <w:p w14:paraId="3CFD7DD3" w14:textId="77777777" w:rsidR="009A0B3C" w:rsidRDefault="009A0B3C" w:rsidP="009A0B3C">
            <w:pPr>
              <w:widowControl w:val="0"/>
              <w:overflowPunct w:val="0"/>
              <w:autoSpaceDE w:val="0"/>
              <w:autoSpaceDN w:val="0"/>
              <w:adjustRightInd w:val="0"/>
              <w:spacing w:line="259"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76107EB" w14:textId="77777777" w:rsidR="009A0B3C" w:rsidRPr="00777EB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9A0B3C" w14:paraId="0624FB10" w14:textId="30797D91" w:rsidTr="009A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998369F" w14:textId="77777777" w:rsidR="009A0B3C" w:rsidRPr="00777EBC" w:rsidRDefault="009A0B3C" w:rsidP="009A0B3C">
            <w:pPr>
              <w:ind w:left="-108" w:right="-1648" w:firstLine="108"/>
              <w:jc w:val="both"/>
              <w:rPr>
                <w:sz w:val="18"/>
                <w:szCs w:val="18"/>
              </w:rPr>
            </w:pPr>
          </w:p>
        </w:tc>
        <w:tc>
          <w:tcPr>
            <w:tcW w:w="3015" w:type="dxa"/>
          </w:tcPr>
          <w:p w14:paraId="5F745EEE"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777EBC">
              <w:rPr>
                <w:sz w:val="18"/>
                <w:szCs w:val="18"/>
              </w:rPr>
              <w:t>Mod</w:t>
            </w:r>
            <w:proofErr w:type="spellEnd"/>
            <w:r w:rsidRPr="00777EBC">
              <w:rPr>
                <w:sz w:val="18"/>
                <w:szCs w:val="18"/>
              </w:rPr>
              <w:t>. art. 218:</w:t>
            </w:r>
          </w:p>
          <w:p w14:paraId="0E6AC354"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«Artículo  218.</w:t>
            </w:r>
            <w:r w:rsidRPr="00777EBC">
              <w:rPr>
                <w:sz w:val="18"/>
                <w:szCs w:val="18"/>
              </w:rPr>
              <w:tab/>
              <w:t>Informes  sobre  resolución  de  discrepancias.</w:t>
            </w:r>
          </w:p>
          <w:p w14:paraId="30D43273" w14:textId="77777777" w:rsidR="009A0B3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1.</w:t>
            </w:r>
            <w:r w:rsidRPr="00777EBC">
              <w:rPr>
                <w:sz w:val="18"/>
                <w:szCs w:val="18"/>
              </w:rPr>
              <w:tab/>
              <w:t xml:space="preserve">El  órgano  interventor  elevará  informe  al  Pleno  de  todas  las  resoluciones  adoptadas  por  el Presidente  de  la  entidad  local  contrarias  a  los  reparos  efectuados,  así  como  un resumen  de  las principales  anomalías  detectadas  en  materia  de  ingresos.  Dicho  informe  atenderá  únicamente  a aspectos  y  cometidos  propios  del  ejercicio  de  la  función  fiscalizadora,  sin  incluir  cuestiones  de oportunidad  o  conveniencia  de  las  actuaciones  que  fiscalice. </w:t>
            </w:r>
          </w:p>
          <w:p w14:paraId="57A043D0" w14:textId="77777777" w:rsidR="009A0B3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 xml:space="preserve">Lo  contenido  en  este  apartado  constituirá  un  punto  independiente  en  el  orden  del  día  de  la correspondiente  sesión  plenaria. </w:t>
            </w:r>
          </w:p>
          <w:p w14:paraId="3A565AD4"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El Presidente de la Corporación podrá presentar en el Pleno informe justificativo de su actuación.</w:t>
            </w:r>
          </w:p>
          <w:p w14:paraId="1DE74FCF"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2.</w:t>
            </w:r>
            <w:r w:rsidRPr="00777EBC">
              <w:rPr>
                <w:sz w:val="18"/>
                <w:szCs w:val="18"/>
              </w:rPr>
              <w:tab/>
              <w:t>Sin  perjuicio  de  lo  anterior,  cuando  existan  discrepancias,  el  Presidente  de  la  entidad  local podrá  elevar  su  resolución  al  órgano  de  control  competente  por  razón  de  la  materia  de la Administración  que  tenga  atribuida  la  tutela  financiera.</w:t>
            </w:r>
          </w:p>
          <w:p w14:paraId="4DED750A"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3.</w:t>
            </w:r>
            <w:r w:rsidRPr="00777EBC">
              <w:rPr>
                <w:sz w:val="18"/>
                <w:szCs w:val="18"/>
              </w:rPr>
              <w:tab/>
              <w:t>El  órgano  interventor  remitirá  anualmente  al  Tribunal  de  Cuentas  todas  las  resoluciones  y acuerdos  adoptados  por  el  Presidente  de  la  entidad  local  y  por  el  Pleno  de  la  Corporación  contrarios a  los  reparos  formulados,  así  como  un  resumen  de  las  principales  anomalías  detectadas  en  materia de  ingresos.  A  la  citada  documentación  deberá  acompañar,  en  su  caso,  los  informes  justificativos presentados  por  la  Corporación  local.</w:t>
            </w:r>
          </w:p>
          <w:p w14:paraId="29AFED5B"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457" w:type="dxa"/>
          </w:tcPr>
          <w:p w14:paraId="7B4A2B30"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4253" w:type="dxa"/>
          </w:tcPr>
          <w:p w14:paraId="33FB8A76" w14:textId="77777777" w:rsidR="009A0B3C" w:rsidRDefault="009A0B3C" w:rsidP="009A0B3C">
            <w:pPr>
              <w:widowControl w:val="0"/>
              <w:autoSpaceDE w:val="0"/>
              <w:autoSpaceDN w:val="0"/>
              <w:adjustRightInd w:val="0"/>
              <w:ind w:left="5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Artículo 218.</w:t>
            </w:r>
            <w:r>
              <w:rPr>
                <w:rFonts w:ascii="Arial" w:hAnsi="Arial" w:cs="Arial"/>
                <w:i/>
                <w:iCs/>
                <w:sz w:val="20"/>
                <w:szCs w:val="20"/>
              </w:rPr>
              <w:t xml:space="preserve">   Informes sobre resolución de discrepancias.</w:t>
            </w:r>
          </w:p>
          <w:p w14:paraId="53FBAB4E" w14:textId="77777777" w:rsidR="009A0B3C" w:rsidRDefault="009A0B3C" w:rsidP="009A0B3C">
            <w:pPr>
              <w:widowControl w:val="0"/>
              <w:autoSpaceDE w:val="0"/>
              <w:autoSpaceDN w:val="0"/>
              <w:adjustRightInd w:val="0"/>
              <w:spacing w:line="1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8E7B263" w14:textId="77777777" w:rsidR="009A0B3C" w:rsidRDefault="009A0B3C" w:rsidP="009A0B3C">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El órgano interventor elevará informe al Pleno de todas las resoluciones adoptadas por el Presidente de la Entidad Local contrarias a los reparos efectuados, así como un resumen de las principales anomalías detectadas en materia de ingresos. Dicho informe atenderá únicamente a aspectos y cometidos propios del ejercicio de la función fiscalizadora, sin incluir cuestiones de oportunidad o conveniencia de las actuaciones que fiscalice.</w:t>
            </w:r>
          </w:p>
          <w:p w14:paraId="6BB3851C" w14:textId="77777777" w:rsidR="009A0B3C" w:rsidRDefault="009A0B3C" w:rsidP="009A0B3C">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1067AD5" w14:textId="77777777" w:rsidR="009A0B3C" w:rsidRDefault="009A0B3C" w:rsidP="009A0B3C">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Lo contenido en este apartado constituirá un punto independiente en el orden del día de la correspondiente sesión plenaria.</w:t>
            </w:r>
          </w:p>
          <w:p w14:paraId="50A31A5D" w14:textId="77777777" w:rsidR="009A0B3C" w:rsidRDefault="009A0B3C" w:rsidP="009A0B3C">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C374B96" w14:textId="77777777" w:rsidR="009A0B3C" w:rsidRDefault="009A0B3C" w:rsidP="009A0B3C">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El Presidente de la Corporación podrá presentar en el Pleno informe justificativo de su actuación.</w:t>
            </w:r>
          </w:p>
          <w:p w14:paraId="105B7F41" w14:textId="77777777" w:rsidR="009A0B3C" w:rsidRDefault="009A0B3C" w:rsidP="009A0B3C">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12D9836" w14:textId="77777777" w:rsidR="009A0B3C" w:rsidRDefault="009A0B3C" w:rsidP="009A0B3C">
            <w:pPr>
              <w:widowControl w:val="0"/>
              <w:overflowPunct w:val="0"/>
              <w:autoSpaceDE w:val="0"/>
              <w:autoSpaceDN w:val="0"/>
              <w:adjustRightInd w:val="0"/>
              <w:spacing w:line="263"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2.</w:t>
            </w:r>
            <w:r>
              <w:rPr>
                <w:rFonts w:ascii="Arial" w:hAnsi="Arial" w:cs="Arial"/>
                <w:sz w:val="19"/>
                <w:szCs w:val="19"/>
              </w:rPr>
              <w:t> </w:t>
            </w:r>
            <w:r>
              <w:rPr>
                <w:rFonts w:ascii="Arial" w:hAnsi="Arial" w:cs="Arial"/>
                <w:sz w:val="19"/>
                <w:szCs w:val="19"/>
              </w:rPr>
              <w:t xml:space="preserve"> Sin perjuicio de lo anterior, cuando existan discrepancias, el Presidente de la Entidad Local podrá elevar su resolución al órgano de control competente por razón de la materia de la Administración que tenga atribuida la tutela financiera.</w:t>
            </w:r>
          </w:p>
          <w:p w14:paraId="6D3520E9" w14:textId="77777777" w:rsidR="009A0B3C" w:rsidRDefault="009A0B3C" w:rsidP="009A0B3C">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FD2EA2F" w14:textId="2A3C8DEC"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El órgano interventor remitirá anualmente al Tribunal de Cuentas todas las resoluciones y acuerdos adoptados por el Presidente de la Entidad Local y por el Pleno de la Corporación contrarios a los reparos formulados, así como un resumen de las principales anomalías detectadas en materia de ingresos. A la citada documentación deberá acompañar, en su caso, los informes justificativos presentados por la Corporación local.</w:t>
            </w:r>
          </w:p>
        </w:tc>
      </w:tr>
      <w:tr w:rsidR="009A0B3C" w14:paraId="03293B9B" w14:textId="196EE3FE" w:rsidTr="009A0B3C">
        <w:tc>
          <w:tcPr>
            <w:cnfStyle w:val="001000000000" w:firstRow="0" w:lastRow="0" w:firstColumn="1" w:lastColumn="0" w:oddVBand="0" w:evenVBand="0" w:oddHBand="0" w:evenHBand="0" w:firstRowFirstColumn="0" w:firstRowLastColumn="0" w:lastRowFirstColumn="0" w:lastRowLastColumn="0"/>
            <w:tcW w:w="2007" w:type="dxa"/>
          </w:tcPr>
          <w:p w14:paraId="53C05B78" w14:textId="77777777" w:rsidR="009A0B3C" w:rsidRPr="00777EBC" w:rsidRDefault="009A0B3C" w:rsidP="009A0B3C">
            <w:pPr>
              <w:ind w:left="-108" w:right="-1648" w:firstLine="108"/>
              <w:jc w:val="both"/>
              <w:rPr>
                <w:sz w:val="18"/>
                <w:szCs w:val="18"/>
              </w:rPr>
            </w:pPr>
          </w:p>
        </w:tc>
        <w:tc>
          <w:tcPr>
            <w:tcW w:w="3015" w:type="dxa"/>
          </w:tcPr>
          <w:p w14:paraId="1581EF73" w14:textId="77777777" w:rsidR="009A0B3C" w:rsidRPr="00777EB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457" w:type="dxa"/>
          </w:tcPr>
          <w:p w14:paraId="05C5188B" w14:textId="1474D3F1" w:rsidR="009A0B3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Mod</w:t>
            </w:r>
            <w:proofErr w:type="spellEnd"/>
            <w:r>
              <w:rPr>
                <w:sz w:val="18"/>
                <w:szCs w:val="18"/>
              </w:rPr>
              <w:t>. Disposición adicional octava:</w:t>
            </w:r>
          </w:p>
          <w:p w14:paraId="754B401E" w14:textId="77777777" w:rsidR="009A0B3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p>
          <w:p w14:paraId="62E7C4DE"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«Disposición  adicional  octava.</w:t>
            </w:r>
            <w:r w:rsidRPr="008A0B0B">
              <w:rPr>
                <w:sz w:val="18"/>
                <w:szCs w:val="18"/>
              </w:rPr>
              <w:tab/>
              <w:t>Régimen  foral  vasco.</w:t>
            </w:r>
          </w:p>
          <w:p w14:paraId="70787028"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1.</w:t>
            </w:r>
            <w:r w:rsidRPr="008A0B0B">
              <w:rPr>
                <w:sz w:val="18"/>
                <w:szCs w:val="18"/>
              </w:rPr>
              <w:tab/>
              <w:t>Los  Territorios  Históricos  del  País  Vasco  continuarán  conservando  su  régimen  especial  en</w:t>
            </w:r>
          </w:p>
          <w:p w14:paraId="5773A3DE"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materia  municipal  en  lo  que  afecta  al  régimen  económico-financiero  en  los  términos  de  la  Ley  del</w:t>
            </w:r>
          </w:p>
          <w:p w14:paraId="0A6266E0"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Concierto  Económico,  sin  que  ello  pueda  significar  un  nivel  de  autonomía  de  las  corporaciones</w:t>
            </w:r>
          </w:p>
          <w:p w14:paraId="7C115013"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locales  vascas  inferior  al  que  tengan  las  demás  corporaciones  locales,  sin  perjuicio  de  la  aplicación</w:t>
            </w:r>
          </w:p>
          <w:p w14:paraId="3F39EBA7"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de  lo  dispuesto  en  la  Ley  7/1985,  de  2  de  abril,  reguladora  de  las  Bases  del  Régimen  Local,  y  de  las</w:t>
            </w:r>
          </w:p>
          <w:p w14:paraId="2C123E29"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competencias  que  a  este  respecto  puedan  corresponder  a  la  Comunidad  Autónoma.</w:t>
            </w:r>
          </w:p>
          <w:p w14:paraId="52E7723A"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2.</w:t>
            </w:r>
            <w:r w:rsidRPr="008A0B0B">
              <w:rPr>
                <w:sz w:val="18"/>
                <w:szCs w:val="18"/>
              </w:rPr>
              <w:tab/>
              <w:t>De  conformidad  con  la  disposición  final  tercera  de  la  Ley  Orgánica  2/2012,  de  27  de  abril,</w:t>
            </w:r>
          </w:p>
          <w:p w14:paraId="1415F1EA"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 xml:space="preserve">de  Estabilidad  Presupuestaria  y  Sostenibilidad  Financiera,  y  de  la  cláusula  </w:t>
            </w:r>
            <w:proofErr w:type="spellStart"/>
            <w:r w:rsidRPr="008A0B0B">
              <w:rPr>
                <w:sz w:val="18"/>
                <w:szCs w:val="18"/>
              </w:rPr>
              <w:t>subrogatoria</w:t>
            </w:r>
            <w:proofErr w:type="spellEnd"/>
            <w:r w:rsidRPr="008A0B0B">
              <w:rPr>
                <w:sz w:val="18"/>
                <w:szCs w:val="18"/>
              </w:rPr>
              <w:t xml:space="preserve">  prevista  en</w:t>
            </w:r>
          </w:p>
          <w:p w14:paraId="28EE657E"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el  artículo  48  quinto  de  la  Ley  del  Concierto  Económico  con  el  País  Vasco,  los  Territorios  Históricos</w:t>
            </w:r>
          </w:p>
          <w:p w14:paraId="5CB85130"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recibirán  los  informes  a  que  se  refieren  los  artículos  193  bis  y  218  de  la  presente  Ley. Asimismo,  los</w:t>
            </w:r>
          </w:p>
          <w:p w14:paraId="260F840B"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órganos  interventores  de  las  administraciones  locales  del  País  Vasco  remitirán  también  al  Tribunal</w:t>
            </w:r>
          </w:p>
          <w:p w14:paraId="3C495929"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Vasco  de  Cuentas  Públicas,  sin  perjuicio  de  las  competencias  atribuidas  al  Tribunal  de  Cuentas,  los</w:t>
            </w:r>
          </w:p>
          <w:p w14:paraId="64EE5874" w14:textId="77777777" w:rsidR="009A0B3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informes  a  que  se  refiere  el  artículo  218  de  la  presente  Ley</w:t>
            </w:r>
            <w:r>
              <w:rPr>
                <w:sz w:val="18"/>
                <w:szCs w:val="18"/>
              </w:rPr>
              <w:t>.</w:t>
            </w:r>
          </w:p>
          <w:p w14:paraId="26C43CD3" w14:textId="5E2D1138"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3. </w:t>
            </w:r>
            <w:r w:rsidRPr="008A0B0B">
              <w:rPr>
                <w:sz w:val="18"/>
                <w:szCs w:val="18"/>
              </w:rPr>
              <w:t xml:space="preserve">De  conformidad  con  la  Ley  Orgánica  2/2012,  de  27  de  abril,  y  de  la  cláusula  </w:t>
            </w:r>
            <w:proofErr w:type="spellStart"/>
            <w:r w:rsidRPr="008A0B0B">
              <w:rPr>
                <w:sz w:val="18"/>
                <w:szCs w:val="18"/>
              </w:rPr>
              <w:t>subrogatoria</w:t>
            </w:r>
            <w:proofErr w:type="spellEnd"/>
          </w:p>
          <w:p w14:paraId="515E2698"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prevista  en  el  artículo  48  quinto  de  la  Ley  del  Concierto  Económico  con  el  País  Vasco,  las</w:t>
            </w:r>
          </w:p>
          <w:p w14:paraId="23FB7B0C"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Diputaciones  Forales  en  sus  respectivos  ámbitos  territoriales  serán  las  competentes  para  formalizar</w:t>
            </w:r>
          </w:p>
          <w:p w14:paraId="01AC4F6F"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convenios  con  las  entidades  locales  para  reforzar  la  autonomía  y  eficacia  de  los  órganos</w:t>
            </w:r>
          </w:p>
          <w:p w14:paraId="4A700128"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responsables  del  control  y  fiscalización  interna  de  la  gestión  económico-financiera,  contable  y</w:t>
            </w:r>
          </w:p>
          <w:p w14:paraId="45E93F57" w14:textId="77777777" w:rsidR="009A0B3C" w:rsidRPr="008A0B0B"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r w:rsidRPr="008A0B0B">
              <w:rPr>
                <w:sz w:val="18"/>
                <w:szCs w:val="18"/>
              </w:rPr>
              <w:t>presupuestaria  de  las  citadas  entidades  locales.»</w:t>
            </w:r>
          </w:p>
          <w:p w14:paraId="134C05E2" w14:textId="77777777" w:rsidR="009A0B3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4253" w:type="dxa"/>
          </w:tcPr>
          <w:p w14:paraId="4884F478" w14:textId="77777777" w:rsidR="009A0B3C" w:rsidRDefault="009A0B3C" w:rsidP="009A0B3C">
            <w:pPr>
              <w:widowControl w:val="0"/>
              <w:autoSpaceDE w:val="0"/>
              <w:autoSpaceDN w:val="0"/>
              <w:adjustRightInd w:val="0"/>
              <w:ind w:left="5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Disposición adicional octava.</w:t>
            </w:r>
            <w:r>
              <w:rPr>
                <w:rFonts w:ascii="Arial" w:hAnsi="Arial" w:cs="Arial"/>
                <w:i/>
                <w:iCs/>
                <w:sz w:val="20"/>
                <w:szCs w:val="20"/>
              </w:rPr>
              <w:t xml:space="preserve">   Régimen foral vasco.</w:t>
            </w:r>
          </w:p>
          <w:p w14:paraId="2FA36A60" w14:textId="77777777" w:rsidR="009A0B3C" w:rsidRDefault="009A0B3C" w:rsidP="009A0B3C">
            <w:pPr>
              <w:widowControl w:val="0"/>
              <w:autoSpaceDE w:val="0"/>
              <w:autoSpaceDN w:val="0"/>
              <w:adjustRightInd w:val="0"/>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B34A2FE" w14:textId="77777777" w:rsidR="009A0B3C" w:rsidRDefault="009A0B3C" w:rsidP="009A0B3C">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Los Territorios Históricos del País Vasco continuarán conservando su régimen especial en materia municipal en lo que afecta al régimen económico-financiero en los términos de la Ley del Concierto Económico, sin que ello pueda significar un nivel de autonomía de las corporaciones locales vascas inferior al que tengan las demás corporaciones locales, sin perjuicio de la aplicación de lo dispuesto en la Ley 7/1985, de 2 de abril, reguladora de las Bases del Régimen Local, y de las competencias que a este respecto puedan corresponder a la Comunidad Autónoma.</w:t>
            </w:r>
          </w:p>
          <w:p w14:paraId="1D5DB401" w14:textId="77777777" w:rsidR="009A0B3C" w:rsidRDefault="009A0B3C" w:rsidP="009A0B3C">
            <w:pPr>
              <w:widowControl w:val="0"/>
              <w:autoSpaceDE w:val="0"/>
              <w:autoSpaceDN w:val="0"/>
              <w:adjustRightInd w:val="0"/>
              <w:spacing w:line="4"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ECF5A03" w14:textId="77777777" w:rsidR="009A0B3C" w:rsidRDefault="009A0B3C" w:rsidP="009A0B3C">
            <w:pPr>
              <w:widowControl w:val="0"/>
              <w:overflowPunct w:val="0"/>
              <w:autoSpaceDE w:val="0"/>
              <w:autoSpaceDN w:val="0"/>
              <w:adjustRightInd w:val="0"/>
              <w:spacing w:line="263"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Las instituciones vascas podrán, en sus respectivos ámbitos competenciales, atribuir competencias como propias a los municipios de sus respectivos territorios, con sujeción, en todo caso, a los criterios señalados en los apartados 3, 4 y 5 del artículo 25 de la Ley 7/1985, de 2 de abril, reguladora de las Bases del Régimen Local.</w:t>
            </w:r>
          </w:p>
          <w:p w14:paraId="63BD0226" w14:textId="77777777" w:rsidR="009A0B3C" w:rsidRDefault="009A0B3C" w:rsidP="009A0B3C">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5085C92" w14:textId="77777777" w:rsidR="009A0B3C" w:rsidRDefault="009A0B3C" w:rsidP="009A0B3C">
            <w:pPr>
              <w:widowControl w:val="0"/>
              <w:overflowPunct w:val="0"/>
              <w:autoSpaceDE w:val="0"/>
              <w:autoSpaceDN w:val="0"/>
              <w:adjustRightInd w:val="0"/>
              <w:spacing w:line="263"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2.</w:t>
            </w:r>
            <w:r>
              <w:rPr>
                <w:rFonts w:ascii="Arial" w:hAnsi="Arial" w:cs="Arial"/>
                <w:sz w:val="19"/>
                <w:szCs w:val="19"/>
              </w:rPr>
              <w:t> </w:t>
            </w:r>
            <w:r>
              <w:rPr>
                <w:rFonts w:ascii="Arial" w:hAnsi="Arial" w:cs="Arial"/>
                <w:sz w:val="19"/>
                <w:szCs w:val="19"/>
              </w:rPr>
              <w:t xml:space="preserve"> De conformidad con la disposición final tercera de la Ley Orgánica 2/2012, de 27 de abril, de Estabilidad Presupuestaria y Sostenibilidad Financiera, y de la cláusula </w:t>
            </w:r>
            <w:proofErr w:type="spellStart"/>
            <w:r>
              <w:rPr>
                <w:rFonts w:ascii="Arial" w:hAnsi="Arial" w:cs="Arial"/>
                <w:sz w:val="19"/>
                <w:szCs w:val="19"/>
              </w:rPr>
              <w:t>subrogatoria</w:t>
            </w:r>
            <w:proofErr w:type="spellEnd"/>
            <w:r>
              <w:rPr>
                <w:rFonts w:ascii="Arial" w:hAnsi="Arial" w:cs="Arial"/>
                <w:sz w:val="19"/>
                <w:szCs w:val="19"/>
              </w:rPr>
              <w:t xml:space="preserve"> prevista en el artículo 48 quinto de la Ley del Concierto Económico con el País Vasco, los Territorios Históricos recibirán los informes a que se refieren los artículos 193 bis y 218 de la presente Ley. Asimismo, los órganos interventores de las administraciones locales del País Vasco remitirán también al Tribunal Vasco de Cuentas Públicas, sin perjuicio de las competencias atribuidas al Tribunal de Cuentas, los informes a que se refiere el artículo 218 de la presente Ley.</w:t>
            </w:r>
          </w:p>
          <w:p w14:paraId="0CD4350B" w14:textId="77777777" w:rsidR="009A0B3C" w:rsidRDefault="009A0B3C" w:rsidP="009A0B3C">
            <w:pPr>
              <w:widowControl w:val="0"/>
              <w:autoSpaceDE w:val="0"/>
              <w:autoSpaceDN w:val="0"/>
              <w:adjustRightInd w:val="0"/>
              <w:spacing w:line="5"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4039EF8" w14:textId="664AD28D" w:rsidR="009A0B3C" w:rsidRDefault="009A0B3C" w:rsidP="009A0B3C">
            <w:pPr>
              <w:widowControl w:val="0"/>
              <w:overflowPunct w:val="0"/>
              <w:autoSpaceDE w:val="0"/>
              <w:autoSpaceDN w:val="0"/>
              <w:adjustRightInd w:val="0"/>
              <w:spacing w:line="314"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3.</w:t>
            </w:r>
            <w:r>
              <w:rPr>
                <w:rFonts w:ascii="Arial" w:hAnsi="Arial" w:cs="Arial"/>
                <w:sz w:val="19"/>
                <w:szCs w:val="19"/>
              </w:rPr>
              <w:t> </w:t>
            </w:r>
            <w:r>
              <w:rPr>
                <w:rFonts w:ascii="Arial" w:hAnsi="Arial" w:cs="Arial"/>
                <w:sz w:val="19"/>
                <w:szCs w:val="19"/>
              </w:rPr>
              <w:t xml:space="preserve"> De conformidad con la Ley Orgánica 2/2012, de 27 de abril, y de la cláusula </w:t>
            </w:r>
            <w:proofErr w:type="spellStart"/>
            <w:r>
              <w:rPr>
                <w:rFonts w:ascii="Arial" w:hAnsi="Arial" w:cs="Arial"/>
                <w:sz w:val="19"/>
                <w:szCs w:val="19"/>
              </w:rPr>
              <w:t>subrogatoria</w:t>
            </w:r>
            <w:proofErr w:type="spellEnd"/>
            <w:r>
              <w:rPr>
                <w:rFonts w:ascii="Arial" w:hAnsi="Arial" w:cs="Arial"/>
                <w:sz w:val="19"/>
                <w:szCs w:val="19"/>
              </w:rPr>
              <w:t xml:space="preserve"> prevista en el artículo 48 quinto de la Ley del Concierto Económico</w:t>
            </w:r>
            <w:r>
              <w:rPr>
                <w:rFonts w:ascii="Arial" w:hAnsi="Arial" w:cs="Arial"/>
                <w:sz w:val="20"/>
                <w:szCs w:val="20"/>
              </w:rPr>
              <w:t xml:space="preserve"> </w:t>
            </w:r>
            <w:r>
              <w:rPr>
                <w:rFonts w:ascii="Arial" w:hAnsi="Arial" w:cs="Arial"/>
                <w:sz w:val="20"/>
                <w:szCs w:val="20"/>
              </w:rPr>
              <w:t>con el País Vasco, las Diputaciones Forales en sus respectivos ámbitos territoriales serán las competentes para formalizar convenios con las Entidades Locales para reforzar la autonomía y eficacia de los órganos responsables del control y fiscalización interna de la gestión económico-financiera, contable y presupuestaria de las citadas Entidades Locales.</w:t>
            </w:r>
          </w:p>
          <w:p w14:paraId="4E2D55B9" w14:textId="77777777" w:rsidR="009A0B3C" w:rsidRDefault="009A0B3C" w:rsidP="009A0B3C">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9A0B3C" w14:paraId="1EAF779D" w14:textId="3C3E7ADD" w:rsidTr="009A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5FE04D0C" w14:textId="77777777" w:rsidR="009A0B3C" w:rsidRPr="00777EBC" w:rsidRDefault="009A0B3C" w:rsidP="009A0B3C">
            <w:pPr>
              <w:ind w:left="-108" w:right="-1648" w:firstLine="108"/>
              <w:jc w:val="both"/>
              <w:rPr>
                <w:sz w:val="18"/>
                <w:szCs w:val="18"/>
              </w:rPr>
            </w:pPr>
          </w:p>
        </w:tc>
        <w:tc>
          <w:tcPr>
            <w:tcW w:w="3015" w:type="dxa"/>
          </w:tcPr>
          <w:p w14:paraId="3AF8B7DA"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777EBC">
              <w:rPr>
                <w:sz w:val="18"/>
                <w:szCs w:val="18"/>
              </w:rPr>
              <w:t>Introd</w:t>
            </w:r>
            <w:proofErr w:type="spellEnd"/>
            <w:r w:rsidRPr="00777EBC">
              <w:rPr>
                <w:sz w:val="18"/>
                <w:szCs w:val="18"/>
              </w:rPr>
              <w:t>. Nueva disposición adicional decimoquinta:</w:t>
            </w:r>
          </w:p>
          <w:p w14:paraId="72B205A7"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«Disposición  adicional  decimoquinta.</w:t>
            </w:r>
            <w:r w:rsidRPr="00777EBC">
              <w:rPr>
                <w:sz w:val="18"/>
                <w:szCs w:val="18"/>
              </w:rPr>
              <w:tab/>
              <w:t>Gestión  integrada  o  coordinada  de  servicios.</w:t>
            </w:r>
          </w:p>
          <w:p w14:paraId="328FC13E"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r w:rsidRPr="00777EBC">
              <w:rPr>
                <w:sz w:val="18"/>
                <w:szCs w:val="18"/>
              </w:rPr>
              <w:t>Cuando  la  Diputación  o  entidad  equivalente  acredite  en  un  informe  que  el  acuerdo  de  dos  o  más municipios  para  la  gestión  integrada  de  todos  los  servicios  municipales  que  sean  coincidentes conlleva  un  ahorro  de  al  menos  el  10%  respecto  el  coste  efectivo  total  en  el  que  incurría  cada municipio  por  separado,  el  coeficiente  de  ponderación  que  resulte  de  aplicación  a  cada  municipio de  acuerdo  con  el  artículo  124.1  del  texto  refundido  de  la  Ley  Reguladora  de  las  Haciendas  Locales, se  incrementará  en  0,04.</w:t>
            </w:r>
            <w:r w:rsidRPr="00777EBC">
              <w:rPr>
                <w:sz w:val="18"/>
                <w:szCs w:val="18"/>
              </w:rPr>
              <w:tab/>
              <w:t>De  la  aplicación  de  esta  regla  no  se  podrá  derivar,  para  cada  ejercicio, un  importe  total  superior  al  que  resulte  de  lo  dispuesto  en  el  artículo  123  del  texto  refundido  de  la Ley  Reguladora  de  las  Haciendas  Locales.»</w:t>
            </w:r>
          </w:p>
        </w:tc>
        <w:tc>
          <w:tcPr>
            <w:tcW w:w="2457" w:type="dxa"/>
          </w:tcPr>
          <w:p w14:paraId="657EBEBD"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4253" w:type="dxa"/>
          </w:tcPr>
          <w:p w14:paraId="46855A56" w14:textId="77777777" w:rsidR="009A0B3C" w:rsidRDefault="009A0B3C" w:rsidP="009A0B3C">
            <w:pPr>
              <w:widowControl w:val="0"/>
              <w:autoSpaceDE w:val="0"/>
              <w:autoSpaceDN w:val="0"/>
              <w:adjustRightInd w:val="0"/>
              <w:ind w:left="5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«Disposición adicional decimoquinta.</w:t>
            </w:r>
            <w:r>
              <w:rPr>
                <w:rFonts w:ascii="Arial" w:hAnsi="Arial" w:cs="Arial"/>
                <w:i/>
                <w:iCs/>
                <w:sz w:val="19"/>
                <w:szCs w:val="19"/>
              </w:rPr>
              <w:t xml:space="preserve">   Gestión integrada o coordinada de servicios.</w:t>
            </w:r>
          </w:p>
          <w:p w14:paraId="04E76173" w14:textId="77777777" w:rsidR="009A0B3C" w:rsidRDefault="009A0B3C" w:rsidP="009A0B3C">
            <w:pPr>
              <w:widowControl w:val="0"/>
              <w:autoSpaceDE w:val="0"/>
              <w:autoSpaceDN w:val="0"/>
              <w:adjustRightInd w:val="0"/>
              <w:spacing w:line="186"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B9221D7" w14:textId="77777777" w:rsidR="009A0B3C" w:rsidRDefault="009A0B3C" w:rsidP="009A0B3C">
            <w:pPr>
              <w:widowControl w:val="0"/>
              <w:overflowPunct w:val="0"/>
              <w:autoSpaceDE w:val="0"/>
              <w:autoSpaceDN w:val="0"/>
              <w:adjustRightInd w:val="0"/>
              <w:spacing w:line="263"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Cuando la Diputación o entidad equivalente acredite en un informe que el acuerdo de dos o más municipios para la gestión integrada de todos los servicios municipales que sean coincidentes conlleva un ahorro de al menos el 10% respecto el coste efectivo total en el que incurría cada municipio por separado, el coeficiente de ponderación que resulte de aplicación a cada municipio de acuerdo con el artículo 124.1 del texto refundido de la Ley Reguladora de las Haciendas Locales, se incrementará en 0,04. De la aplicación de esta regla no se podrá derivar, para cada ejercicio, un importe total superior al que resulte de lo dispuesto en el artículo 123 del texto refundido de la Ley Reguladora de las Haciendas Locales.»</w:t>
            </w:r>
          </w:p>
          <w:p w14:paraId="43FC5643" w14:textId="77777777" w:rsidR="009A0B3C" w:rsidRPr="00777EBC" w:rsidRDefault="009A0B3C" w:rsidP="009A0B3C">
            <w:pPr>
              <w:jc w:val="both"/>
              <w:cnfStyle w:val="000000100000" w:firstRow="0" w:lastRow="0" w:firstColumn="0" w:lastColumn="0" w:oddVBand="0" w:evenVBand="0" w:oddHBand="1" w:evenHBand="0" w:firstRowFirstColumn="0" w:firstRowLastColumn="0" w:lastRowFirstColumn="0" w:lastRowLastColumn="0"/>
              <w:rPr>
                <w:sz w:val="18"/>
                <w:szCs w:val="18"/>
              </w:rPr>
            </w:pPr>
          </w:p>
        </w:tc>
      </w:tr>
    </w:tbl>
    <w:p w14:paraId="7FB5C94C" w14:textId="77777777" w:rsidR="00EB3F32" w:rsidRDefault="00EB3F32"/>
    <w:sectPr w:rsidR="00EB3F32" w:rsidSect="00117EAB">
      <w:pgSz w:w="16840" w:h="11900" w:orient="landscape"/>
      <w:pgMar w:top="1701" w:right="3373"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32"/>
    <w:rsid w:val="00117EAB"/>
    <w:rsid w:val="002646F6"/>
    <w:rsid w:val="00480393"/>
    <w:rsid w:val="00777EBC"/>
    <w:rsid w:val="008A0B0B"/>
    <w:rsid w:val="009A0B3C"/>
    <w:rsid w:val="00A4666F"/>
    <w:rsid w:val="00B376D7"/>
    <w:rsid w:val="00C43A79"/>
    <w:rsid w:val="00D71046"/>
    <w:rsid w:val="00D929A0"/>
    <w:rsid w:val="00EB3F3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8F5F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B3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EB3F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8A0B0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B3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EB3F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8A0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64B9E-B0E5-F644-B05D-9817DA1D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2196</Words>
  <Characters>12079</Characters>
  <Application>Microsoft Macintosh Word</Application>
  <DocSecurity>0</DocSecurity>
  <Lines>100</Lines>
  <Paragraphs>28</Paragraphs>
  <ScaleCrop>false</ScaleCrop>
  <Company/>
  <LinksUpToDate>false</LinksUpToDate>
  <CharactersWithSpaces>14247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Saez Moreno</dc:creator>
  <cp:keywords/>
  <dc:description/>
  <cp:lastModifiedBy>Sandra Saez Moreno</cp:lastModifiedBy>
  <cp:revision>7</cp:revision>
  <dcterms:created xsi:type="dcterms:W3CDTF">2013-12-03T00:41:00Z</dcterms:created>
  <dcterms:modified xsi:type="dcterms:W3CDTF">2014-01-22T02:18:00Z</dcterms:modified>
</cp:coreProperties>
</file>